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0F3" w:rsidRDefault="00C62BD4">
      <w:pPr>
        <w:pStyle w:val="Heading1"/>
        <w:spacing w:before="18"/>
        <w:ind w:left="944" w:firstLine="0"/>
      </w:pPr>
      <w:r>
        <w:t>POLICIES AND PROCEDURES</w:t>
      </w:r>
    </w:p>
    <w:p w:rsidR="004420F3" w:rsidRDefault="004420F3">
      <w:pPr>
        <w:pStyle w:val="BodyText"/>
        <w:spacing w:before="1"/>
        <w:ind w:left="0"/>
        <w:jc w:val="left"/>
        <w:rPr>
          <w:b/>
        </w:rPr>
      </w:pPr>
    </w:p>
    <w:p w:rsidR="004420F3" w:rsidRDefault="00C62BD4">
      <w:pPr>
        <w:pStyle w:val="ListParagraph"/>
        <w:numPr>
          <w:ilvl w:val="0"/>
          <w:numId w:val="3"/>
        </w:numPr>
        <w:tabs>
          <w:tab w:val="left" w:pos="469"/>
        </w:tabs>
        <w:spacing w:line="250" w:lineRule="exact"/>
        <w:ind w:right="0"/>
        <w:rPr>
          <w:b/>
        </w:rPr>
      </w:pPr>
      <w:r>
        <w:rPr>
          <w:b/>
        </w:rPr>
        <w:t>Refusal of orders for penny Stocks:</w:t>
      </w:r>
      <w:r>
        <w:rPr>
          <w:b/>
          <w:spacing w:val="-6"/>
        </w:rPr>
        <w:t xml:space="preserve"> </w:t>
      </w:r>
      <w:r>
        <w:rPr>
          <w:b/>
        </w:rPr>
        <w:t>-</w:t>
      </w:r>
    </w:p>
    <w:p w:rsidR="004420F3" w:rsidRDefault="00C62BD4">
      <w:pPr>
        <w:pStyle w:val="BodyText"/>
        <w:ind w:right="38"/>
      </w:pPr>
      <w:r>
        <w:t xml:space="preserve">The client is aware and agrees that the stock broker may refuse or restrict a client in placing the order in certain </w:t>
      </w:r>
      <w:r w:rsidR="000F0E6B">
        <w:t>commodities</w:t>
      </w:r>
      <w:r>
        <w:t xml:space="preserve"> depending on various conditions like </w:t>
      </w:r>
      <w:r w:rsidR="000F0E6B">
        <w:t>volume / value</w:t>
      </w:r>
      <w:r>
        <w:t>, although a client may hav</w:t>
      </w:r>
      <w:r>
        <w:t xml:space="preserve">e credit balance or sufficient margin in the trading account. List of such </w:t>
      </w:r>
      <w:proofErr w:type="spellStart"/>
      <w:r>
        <w:t>scrips</w:t>
      </w:r>
      <w:proofErr w:type="spellEnd"/>
      <w:r>
        <w:t xml:space="preserve"> will be reviewed on a periodical basis</w:t>
      </w:r>
      <w:r>
        <w:t>.</w:t>
      </w:r>
    </w:p>
    <w:p w:rsidR="004420F3" w:rsidRDefault="004420F3">
      <w:pPr>
        <w:pStyle w:val="BodyText"/>
        <w:spacing w:before="8"/>
        <w:ind w:left="0"/>
        <w:jc w:val="left"/>
        <w:rPr>
          <w:sz w:val="21"/>
        </w:rPr>
      </w:pPr>
    </w:p>
    <w:p w:rsidR="004420F3" w:rsidRDefault="00C62BD4">
      <w:pPr>
        <w:pStyle w:val="BodyText"/>
        <w:ind w:right="38"/>
      </w:pPr>
      <w:r>
        <w:t>However, stock broker under exceptional circumstances may execute cliental order. The stock broker</w:t>
      </w:r>
      <w:r>
        <w:t xml:space="preserve"> has the discretion to reject execution of such orders based on its risk perception.</w:t>
      </w:r>
    </w:p>
    <w:p w:rsidR="004420F3" w:rsidRDefault="004420F3">
      <w:pPr>
        <w:pStyle w:val="BodyText"/>
        <w:spacing w:before="4"/>
        <w:ind w:left="0"/>
        <w:jc w:val="left"/>
      </w:pPr>
    </w:p>
    <w:p w:rsidR="004420F3" w:rsidRDefault="00C62BD4">
      <w:pPr>
        <w:pStyle w:val="Heading1"/>
        <w:numPr>
          <w:ilvl w:val="0"/>
          <w:numId w:val="3"/>
        </w:numPr>
        <w:tabs>
          <w:tab w:val="left" w:pos="469"/>
        </w:tabs>
        <w:spacing w:before="1" w:line="251" w:lineRule="exact"/>
      </w:pPr>
      <w:r>
        <w:t>Setting Up client’s Exposure</w:t>
      </w:r>
      <w:r>
        <w:rPr>
          <w:spacing w:val="-3"/>
        </w:rPr>
        <w:t xml:space="preserve"> </w:t>
      </w:r>
      <w:r>
        <w:t>Limit:-</w:t>
      </w:r>
    </w:p>
    <w:p w:rsidR="004420F3" w:rsidRDefault="00C62BD4">
      <w:pPr>
        <w:pStyle w:val="BodyText"/>
        <w:ind w:right="38" w:firstLine="55"/>
      </w:pPr>
      <w:r>
        <w:t>The client is aware and agrees that the stock broker may set the Exposure limits on the basis of available base capital which may com</w:t>
      </w:r>
      <w:r>
        <w:t>prise of Ledger and stocks (after suitable margin hair cut). The limit may be allowed on a multiplier basis to the available capital or actual VAR margin basis or a specified margin depending on the Market condition. Client agrees that said limit parameter</w:t>
      </w:r>
      <w:r>
        <w:t>s is a dynamic process that is allowed at the discretion of the stock broker based on the market conditions and their risk perception about the market. However on exceptional situations broker may use its own discretion in providing the limits and may chan</w:t>
      </w:r>
      <w:r>
        <w:t>ge for a client or for all depending on market condition.</w:t>
      </w:r>
    </w:p>
    <w:p w:rsidR="004420F3" w:rsidRDefault="004420F3">
      <w:pPr>
        <w:pStyle w:val="BodyText"/>
        <w:spacing w:before="1"/>
        <w:ind w:left="0"/>
        <w:jc w:val="left"/>
      </w:pPr>
    </w:p>
    <w:p w:rsidR="004420F3" w:rsidRDefault="00C62BD4">
      <w:pPr>
        <w:pStyle w:val="Heading1"/>
        <w:numPr>
          <w:ilvl w:val="0"/>
          <w:numId w:val="3"/>
        </w:numPr>
        <w:tabs>
          <w:tab w:val="left" w:pos="469"/>
        </w:tabs>
        <w:spacing w:line="251" w:lineRule="exact"/>
      </w:pPr>
      <w:r>
        <w:t>Applicable Brokerage</w:t>
      </w:r>
      <w:r>
        <w:rPr>
          <w:spacing w:val="-3"/>
        </w:rPr>
        <w:t xml:space="preserve"> </w:t>
      </w:r>
      <w:r>
        <w:t>Rate</w:t>
      </w:r>
    </w:p>
    <w:p w:rsidR="004420F3" w:rsidRDefault="00C62BD4">
      <w:pPr>
        <w:pStyle w:val="ListParagraph"/>
        <w:numPr>
          <w:ilvl w:val="0"/>
          <w:numId w:val="2"/>
        </w:numPr>
        <w:tabs>
          <w:tab w:val="left" w:pos="469"/>
        </w:tabs>
        <w:ind w:right="40"/>
        <w:jc w:val="both"/>
      </w:pPr>
      <w:r>
        <w:t>The stock broker is eligible to charge brokerage with respect to transactions effected by it in various segment as mentioned herein</w:t>
      </w:r>
      <w:r>
        <w:rPr>
          <w:spacing w:val="-6"/>
        </w:rPr>
        <w:t xml:space="preserve"> </w:t>
      </w:r>
      <w:r>
        <w:t>below-</w:t>
      </w:r>
    </w:p>
    <w:p w:rsidR="000F0E6B" w:rsidRDefault="000F0E6B" w:rsidP="000F0E6B">
      <w:pPr>
        <w:pStyle w:val="ListParagraph"/>
        <w:tabs>
          <w:tab w:val="left" w:pos="469"/>
        </w:tabs>
        <w:ind w:right="40" w:firstLine="0"/>
      </w:pPr>
    </w:p>
    <w:p w:rsidR="000F0E6B" w:rsidRDefault="000F0E6B" w:rsidP="000F0E6B">
      <w:pPr>
        <w:pStyle w:val="ListParagraph"/>
        <w:tabs>
          <w:tab w:val="left" w:pos="469"/>
        </w:tabs>
        <w:ind w:right="40" w:firstLine="0"/>
      </w:pPr>
    </w:p>
    <w:p w:rsidR="004420F3" w:rsidRDefault="00C62BD4">
      <w:pPr>
        <w:pStyle w:val="ListParagraph"/>
        <w:numPr>
          <w:ilvl w:val="0"/>
          <w:numId w:val="1"/>
        </w:numPr>
        <w:tabs>
          <w:tab w:val="left" w:pos="469"/>
        </w:tabs>
        <w:ind w:right="40"/>
      </w:pPr>
      <w:r>
        <w:t>For option Contracts– Brokerage for options contracts shall be charged on the premium amount at which the option contract was bought or sold and not on the strike price of the option contract. The brokerage on option contracts shall</w:t>
      </w:r>
      <w:r>
        <w:rPr>
          <w:spacing w:val="21"/>
        </w:rPr>
        <w:t xml:space="preserve"> </w:t>
      </w:r>
      <w:r>
        <w:t>not</w:t>
      </w:r>
    </w:p>
    <w:p w:rsidR="004420F3" w:rsidRDefault="00C62BD4">
      <w:pPr>
        <w:pStyle w:val="BodyText"/>
        <w:spacing w:before="14"/>
        <w:ind w:right="119"/>
      </w:pPr>
      <w:r>
        <w:br w:type="column"/>
      </w:r>
      <w:proofErr w:type="gramStart"/>
      <w:r>
        <w:lastRenderedPageBreak/>
        <w:t>exceed</w:t>
      </w:r>
      <w:proofErr w:type="gramEnd"/>
      <w:r>
        <w:t xml:space="preserve"> 2.5% of the</w:t>
      </w:r>
      <w:r>
        <w:t xml:space="preserve"> premium amount or Rs. 100 (per lot) whichever is higher.</w:t>
      </w:r>
    </w:p>
    <w:p w:rsidR="004420F3" w:rsidRDefault="00C62BD4">
      <w:pPr>
        <w:pStyle w:val="ListParagraph"/>
        <w:numPr>
          <w:ilvl w:val="0"/>
          <w:numId w:val="2"/>
        </w:numPr>
        <w:tabs>
          <w:tab w:val="left" w:pos="469"/>
        </w:tabs>
        <w:ind w:right="122"/>
        <w:jc w:val="both"/>
      </w:pPr>
      <w:r>
        <w:t>The stock broker may charge different Brokerage for Deliverable and intraday</w:t>
      </w:r>
      <w:r>
        <w:rPr>
          <w:spacing w:val="-5"/>
        </w:rPr>
        <w:t xml:space="preserve"> </w:t>
      </w:r>
      <w:r>
        <w:t>transactions.</w:t>
      </w:r>
    </w:p>
    <w:p w:rsidR="004420F3" w:rsidRDefault="00C62BD4">
      <w:pPr>
        <w:pStyle w:val="ListParagraph"/>
        <w:numPr>
          <w:ilvl w:val="0"/>
          <w:numId w:val="2"/>
        </w:numPr>
        <w:tabs>
          <w:tab w:val="left" w:pos="469"/>
        </w:tabs>
        <w:jc w:val="both"/>
      </w:pPr>
      <w:r>
        <w:t xml:space="preserve">The client is aware that any request for change in the brokerage rate has to send in writing to the Branch </w:t>
      </w:r>
      <w:r>
        <w:t xml:space="preserve">who in turn will forward the request to Head Office of the stock broker. Acceptance / rejection of such request </w:t>
      </w:r>
      <w:proofErr w:type="gramStart"/>
      <w:r>
        <w:t>is</w:t>
      </w:r>
      <w:proofErr w:type="gramEnd"/>
      <w:r>
        <w:t xml:space="preserve"> at the discretion of stock</w:t>
      </w:r>
      <w:r>
        <w:rPr>
          <w:spacing w:val="-3"/>
        </w:rPr>
        <w:t xml:space="preserve"> </w:t>
      </w:r>
      <w:r>
        <w:t>broker.</w:t>
      </w:r>
    </w:p>
    <w:p w:rsidR="004420F3" w:rsidRDefault="00C62BD4">
      <w:pPr>
        <w:pStyle w:val="ListParagraph"/>
        <w:numPr>
          <w:ilvl w:val="0"/>
          <w:numId w:val="2"/>
        </w:numPr>
        <w:tabs>
          <w:tab w:val="left" w:pos="469"/>
        </w:tabs>
        <w:jc w:val="both"/>
      </w:pPr>
      <w:r>
        <w:t>Other Levies, Charges, service tax etc. will be charged on brokerage as per the Rules prescribed by the Go</w:t>
      </w:r>
      <w:r>
        <w:t>vernment / Regulatory</w:t>
      </w:r>
      <w:r>
        <w:rPr>
          <w:spacing w:val="-5"/>
        </w:rPr>
        <w:t xml:space="preserve"> </w:t>
      </w:r>
      <w:r>
        <w:t>Agencies.</w:t>
      </w:r>
    </w:p>
    <w:p w:rsidR="004420F3" w:rsidRDefault="004420F3">
      <w:pPr>
        <w:pStyle w:val="BodyText"/>
        <w:ind w:left="0"/>
        <w:jc w:val="left"/>
      </w:pPr>
    </w:p>
    <w:p w:rsidR="004420F3" w:rsidRDefault="00C62BD4">
      <w:pPr>
        <w:pStyle w:val="BodyText"/>
        <w:ind w:right="117"/>
      </w:pPr>
      <w:r>
        <w:t>All the above charges and levies debited to clients would be mentioned in the Contract note send to client.</w:t>
      </w:r>
    </w:p>
    <w:p w:rsidR="004420F3" w:rsidRDefault="004420F3">
      <w:pPr>
        <w:pStyle w:val="BodyText"/>
        <w:spacing w:before="3"/>
        <w:ind w:left="0"/>
        <w:jc w:val="left"/>
      </w:pPr>
    </w:p>
    <w:p w:rsidR="004420F3" w:rsidRDefault="00C62BD4">
      <w:pPr>
        <w:pStyle w:val="Heading1"/>
        <w:numPr>
          <w:ilvl w:val="0"/>
          <w:numId w:val="3"/>
        </w:numPr>
        <w:tabs>
          <w:tab w:val="left" w:pos="469"/>
        </w:tabs>
        <w:ind w:right="120"/>
        <w:jc w:val="both"/>
      </w:pPr>
      <w:r>
        <w:t>Imposition of penalty / delayed payment charges:</w:t>
      </w:r>
    </w:p>
    <w:p w:rsidR="004420F3" w:rsidRDefault="00C62BD4">
      <w:pPr>
        <w:pStyle w:val="ListParagraph"/>
        <w:numPr>
          <w:ilvl w:val="0"/>
          <w:numId w:val="1"/>
        </w:numPr>
        <w:tabs>
          <w:tab w:val="left" w:pos="469"/>
        </w:tabs>
      </w:pPr>
      <w:r>
        <w:t xml:space="preserve">The client is required to pay all amounts due to </w:t>
      </w:r>
      <w:proofErr w:type="gramStart"/>
      <w:r>
        <w:t>the</w:t>
      </w:r>
      <w:proofErr w:type="gramEnd"/>
      <w:r>
        <w:t xml:space="preserve"> stock broker</w:t>
      </w:r>
      <w:r>
        <w:t xml:space="preserve"> on its due date. The amount due to broker shall include all type of Margin and pay- in obligation or on account of any other</w:t>
      </w:r>
      <w:r>
        <w:rPr>
          <w:spacing w:val="-10"/>
        </w:rPr>
        <w:t xml:space="preserve"> </w:t>
      </w:r>
      <w:r>
        <w:t>reason.</w:t>
      </w:r>
    </w:p>
    <w:p w:rsidR="004420F3" w:rsidRDefault="00C62BD4">
      <w:pPr>
        <w:pStyle w:val="ListParagraph"/>
        <w:numPr>
          <w:ilvl w:val="0"/>
          <w:numId w:val="1"/>
        </w:numPr>
        <w:tabs>
          <w:tab w:val="left" w:pos="469"/>
        </w:tabs>
      </w:pPr>
      <w:r>
        <w:t>In case the client does not pay the amount due on time, the stock broker shall charge delayed payment charges up to the ra</w:t>
      </w:r>
      <w:r>
        <w:t>te of 2% per month on the daily outstanding value or at such rates as may be determined from time to time by the stock broker</w:t>
      </w:r>
      <w:r w:rsidR="000F0E6B">
        <w:t xml:space="preserve">. In case of </w:t>
      </w:r>
      <w:r>
        <w:t>F&amp;O Segment, interest will be charged from the time it become due till the time obligation is clear</w:t>
      </w:r>
      <w:r>
        <w:t>ed by the client. The objective of charging such a charge is to force a client to clear their dues on a timely basis.</w:t>
      </w:r>
    </w:p>
    <w:p w:rsidR="004420F3" w:rsidRDefault="00C62BD4">
      <w:pPr>
        <w:pStyle w:val="ListParagraph"/>
        <w:numPr>
          <w:ilvl w:val="0"/>
          <w:numId w:val="1"/>
        </w:numPr>
        <w:tabs>
          <w:tab w:val="left" w:pos="469"/>
        </w:tabs>
      </w:pPr>
      <w:r>
        <w:t>The client agrees that the stock broker may impose fines/penalties for any orders / trade of the client</w:t>
      </w:r>
      <w:r>
        <w:rPr>
          <w:spacing w:val="11"/>
        </w:rPr>
        <w:t xml:space="preserve"> </w:t>
      </w:r>
      <w:r>
        <w:t>which</w:t>
      </w:r>
      <w:r>
        <w:rPr>
          <w:spacing w:val="11"/>
        </w:rPr>
        <w:t xml:space="preserve"> </w:t>
      </w:r>
      <w:r>
        <w:t>are</w:t>
      </w:r>
      <w:r>
        <w:rPr>
          <w:spacing w:val="11"/>
        </w:rPr>
        <w:t xml:space="preserve"> </w:t>
      </w:r>
      <w:r>
        <w:t>contrary</w:t>
      </w:r>
      <w:r>
        <w:rPr>
          <w:spacing w:val="9"/>
        </w:rPr>
        <w:t xml:space="preserve"> </w:t>
      </w:r>
      <w:r>
        <w:t>to</w:t>
      </w:r>
      <w:r>
        <w:rPr>
          <w:spacing w:val="11"/>
        </w:rPr>
        <w:t xml:space="preserve"> </w:t>
      </w:r>
      <w:r>
        <w:t>this</w:t>
      </w:r>
      <w:r>
        <w:rPr>
          <w:spacing w:val="8"/>
        </w:rPr>
        <w:t xml:space="preserve"> </w:t>
      </w:r>
      <w:r>
        <w:t>agreeme</w:t>
      </w:r>
      <w:r>
        <w:t>nt</w:t>
      </w:r>
      <w:r>
        <w:rPr>
          <w:spacing w:val="12"/>
        </w:rPr>
        <w:t xml:space="preserve"> </w:t>
      </w:r>
      <w:r>
        <w:t>/</w:t>
      </w:r>
      <w:r>
        <w:rPr>
          <w:spacing w:val="12"/>
        </w:rPr>
        <w:t xml:space="preserve"> </w:t>
      </w:r>
      <w:r>
        <w:t>rules</w:t>
      </w:r>
    </w:p>
    <w:p w:rsidR="004420F3" w:rsidRDefault="00C62BD4">
      <w:pPr>
        <w:pStyle w:val="BodyText"/>
        <w:ind w:right="117"/>
      </w:pPr>
      <w:proofErr w:type="gramStart"/>
      <w:r>
        <w:t>/regulations of the Exchange.</w:t>
      </w:r>
      <w:proofErr w:type="gramEnd"/>
      <w:r>
        <w:t xml:space="preserve"> Further, under the instances where the stock broker has been penalized from any Authority on account of / as a consequence of orders / trades of the client, the same shall be borne by the client.</w:t>
      </w:r>
    </w:p>
    <w:p w:rsidR="004420F3" w:rsidRDefault="004420F3">
      <w:pPr>
        <w:pStyle w:val="BodyText"/>
        <w:spacing w:before="5"/>
        <w:ind w:left="0"/>
        <w:jc w:val="left"/>
        <w:rPr>
          <w:sz w:val="21"/>
        </w:rPr>
      </w:pPr>
    </w:p>
    <w:p w:rsidR="004420F3" w:rsidRDefault="00C62BD4">
      <w:pPr>
        <w:pStyle w:val="ListParagraph"/>
        <w:numPr>
          <w:ilvl w:val="0"/>
          <w:numId w:val="3"/>
        </w:numPr>
        <w:tabs>
          <w:tab w:val="left" w:pos="469"/>
        </w:tabs>
        <w:spacing w:before="1"/>
        <w:jc w:val="both"/>
      </w:pPr>
      <w:r>
        <w:t xml:space="preserve">The right to sell client’s </w:t>
      </w:r>
      <w:r w:rsidR="000F0E6B">
        <w:t>commodities</w:t>
      </w:r>
      <w:r>
        <w:t xml:space="preserve"> or close client’s positions, without giving notice to the client, on account of non – payment of client’s</w:t>
      </w:r>
      <w:r>
        <w:rPr>
          <w:spacing w:val="-5"/>
        </w:rPr>
        <w:t xml:space="preserve"> </w:t>
      </w:r>
      <w:r>
        <w:t>dues:-</w:t>
      </w:r>
    </w:p>
    <w:p w:rsidR="004420F3" w:rsidRDefault="004420F3">
      <w:pPr>
        <w:pStyle w:val="BodyText"/>
        <w:spacing w:before="9"/>
        <w:ind w:left="0"/>
        <w:jc w:val="left"/>
        <w:rPr>
          <w:sz w:val="21"/>
        </w:rPr>
      </w:pPr>
    </w:p>
    <w:p w:rsidR="004420F3" w:rsidRDefault="00C62BD4">
      <w:pPr>
        <w:pStyle w:val="BodyText"/>
        <w:spacing w:before="1"/>
        <w:ind w:right="119"/>
      </w:pPr>
      <w:r>
        <w:t>The Client shall provide timely funds/</w:t>
      </w:r>
      <w:r w:rsidR="000F0E6B">
        <w:t>commodities</w:t>
      </w:r>
      <w:r>
        <w:t xml:space="preserve"> for the purchase / sale of </w:t>
      </w:r>
      <w:r w:rsidR="000F0E6B">
        <w:t>commodities</w:t>
      </w:r>
      <w:r>
        <w:t xml:space="preserve"> to the stock broker for meeting his obligation to the Exchange. In case of client falling short of providing funds/</w:t>
      </w:r>
      <w:r w:rsidR="000F0E6B">
        <w:t>commodities</w:t>
      </w:r>
      <w:r>
        <w:t xml:space="preserve"> the stock broker has the right to close the</w:t>
      </w:r>
      <w:r>
        <w:t xml:space="preserve"> positions. </w:t>
      </w:r>
    </w:p>
    <w:p w:rsidR="004420F3" w:rsidRDefault="004420F3">
      <w:pPr>
        <w:sectPr w:rsidR="004420F3">
          <w:headerReference w:type="default" r:id="rId7"/>
          <w:footerReference w:type="default" r:id="rId8"/>
          <w:type w:val="continuous"/>
          <w:pgSz w:w="12240" w:h="15840"/>
          <w:pgMar w:top="980" w:right="740" w:bottom="1000" w:left="900" w:header="722" w:footer="805" w:gutter="0"/>
          <w:pgNumType w:start="1"/>
          <w:cols w:num="2" w:space="720" w:equalWidth="0">
            <w:col w:w="4978" w:space="565"/>
            <w:col w:w="5057"/>
          </w:cols>
        </w:sectPr>
      </w:pPr>
    </w:p>
    <w:p w:rsidR="004420F3" w:rsidRDefault="000F0E6B">
      <w:pPr>
        <w:pStyle w:val="BodyText"/>
        <w:spacing w:before="14"/>
        <w:ind w:right="40"/>
      </w:pPr>
      <w:r>
        <w:lastRenderedPageBreak/>
        <w:t xml:space="preserve">The Stock broker has right </w:t>
      </w:r>
      <w:r w:rsidR="00C62BD4">
        <w:t xml:space="preserve">to sell client’s </w:t>
      </w:r>
      <w:r>
        <w:t>commodities</w:t>
      </w:r>
      <w:r w:rsidR="00C62BD4">
        <w:t xml:space="preserve"> or close clients position wi</w:t>
      </w:r>
      <w:r w:rsidR="00C62BD4">
        <w:t xml:space="preserve">th or without giving prior notice to client on account of </w:t>
      </w:r>
      <w:proofErr w:type="spellStart"/>
      <w:r w:rsidR="00C62BD4">
        <w:t>non payment</w:t>
      </w:r>
      <w:proofErr w:type="spellEnd"/>
      <w:r w:rsidR="00C62BD4">
        <w:t xml:space="preserve"> of dues to the extent of Ledger debit and/or to the extent of Margin obligation. The broker can liquidate the </w:t>
      </w:r>
      <w:r>
        <w:t>commodities</w:t>
      </w:r>
      <w:r w:rsidR="00C62BD4">
        <w:t xml:space="preserve"> bought or collaterals given or any other </w:t>
      </w:r>
      <w:r>
        <w:t>commodities</w:t>
      </w:r>
      <w:r w:rsidR="00C62BD4">
        <w:t xml:space="preserve"> given in any </w:t>
      </w:r>
      <w:r w:rsidR="00C62BD4">
        <w:t>other from for clearing the clients obligation.</w:t>
      </w:r>
    </w:p>
    <w:p w:rsidR="004420F3" w:rsidRDefault="004420F3">
      <w:pPr>
        <w:pStyle w:val="BodyText"/>
        <w:spacing w:before="5"/>
        <w:ind w:left="0"/>
        <w:jc w:val="left"/>
      </w:pPr>
    </w:p>
    <w:p w:rsidR="004420F3" w:rsidRDefault="00C62BD4">
      <w:pPr>
        <w:pStyle w:val="Heading1"/>
        <w:numPr>
          <w:ilvl w:val="0"/>
          <w:numId w:val="3"/>
        </w:numPr>
        <w:tabs>
          <w:tab w:val="left" w:pos="469"/>
        </w:tabs>
        <w:ind w:right="39"/>
        <w:jc w:val="both"/>
      </w:pPr>
      <w:r>
        <w:t>Shortages in obligation arising out of internal netting of trades</w:t>
      </w:r>
    </w:p>
    <w:p w:rsidR="004420F3" w:rsidRDefault="004420F3">
      <w:pPr>
        <w:pStyle w:val="BodyText"/>
        <w:spacing w:before="6"/>
        <w:ind w:left="0"/>
        <w:jc w:val="left"/>
        <w:rPr>
          <w:b/>
          <w:sz w:val="21"/>
        </w:rPr>
      </w:pPr>
    </w:p>
    <w:p w:rsidR="000F0E6B" w:rsidRDefault="000F0E6B">
      <w:pPr>
        <w:pStyle w:val="BodyText"/>
        <w:spacing w:before="6"/>
        <w:ind w:left="0"/>
        <w:jc w:val="left"/>
        <w:rPr>
          <w:b/>
          <w:sz w:val="21"/>
        </w:rPr>
      </w:pPr>
    </w:p>
    <w:p w:rsidR="000F0E6B" w:rsidRDefault="000F0E6B">
      <w:pPr>
        <w:pStyle w:val="BodyText"/>
        <w:spacing w:before="6"/>
        <w:ind w:left="0"/>
        <w:jc w:val="left"/>
        <w:rPr>
          <w:b/>
          <w:sz w:val="21"/>
        </w:rPr>
      </w:pPr>
    </w:p>
    <w:p w:rsidR="004420F3" w:rsidRDefault="00C62BD4">
      <w:pPr>
        <w:pStyle w:val="BodyText"/>
        <w:ind w:right="40"/>
      </w:pPr>
      <w:r>
        <w:t>The client agrees to the laid down policy and procedure followed for handling shortages arising out of internal netting of trades, as mentioned herein below:</w:t>
      </w:r>
    </w:p>
    <w:p w:rsidR="004420F3" w:rsidRDefault="004420F3">
      <w:pPr>
        <w:pStyle w:val="BodyText"/>
        <w:ind w:left="0"/>
        <w:jc w:val="left"/>
      </w:pPr>
    </w:p>
    <w:p w:rsidR="004420F3" w:rsidRDefault="00C62BD4">
      <w:pPr>
        <w:pStyle w:val="BodyText"/>
        <w:ind w:right="38"/>
      </w:pPr>
      <w:r>
        <w:t>Close out price will be the highest weighted Average price for any day recorded in the scrip from</w:t>
      </w:r>
      <w:r>
        <w:t xml:space="preserve"> the trading day on which the transaction took </w:t>
      </w:r>
      <w:proofErr w:type="gramStart"/>
      <w:r>
        <w:t xml:space="preserve">place </w:t>
      </w:r>
      <w:r w:rsidR="000F0E6B">
        <w:t>.</w:t>
      </w:r>
      <w:proofErr w:type="gramEnd"/>
    </w:p>
    <w:p w:rsidR="004420F3" w:rsidRDefault="004420F3">
      <w:pPr>
        <w:pStyle w:val="BodyText"/>
        <w:ind w:left="0"/>
        <w:jc w:val="left"/>
      </w:pPr>
    </w:p>
    <w:p w:rsidR="004420F3" w:rsidRDefault="004420F3">
      <w:pPr>
        <w:pStyle w:val="BodyText"/>
        <w:spacing w:before="5"/>
        <w:ind w:left="0"/>
        <w:jc w:val="left"/>
      </w:pPr>
    </w:p>
    <w:p w:rsidR="000F0E6B" w:rsidRDefault="000F0E6B">
      <w:pPr>
        <w:pStyle w:val="BodyText"/>
        <w:spacing w:before="5"/>
        <w:ind w:left="0"/>
        <w:jc w:val="left"/>
      </w:pPr>
    </w:p>
    <w:p w:rsidR="004420F3" w:rsidRDefault="00C62BD4">
      <w:pPr>
        <w:pStyle w:val="Heading1"/>
        <w:numPr>
          <w:ilvl w:val="0"/>
          <w:numId w:val="3"/>
        </w:numPr>
        <w:tabs>
          <w:tab w:val="left" w:pos="469"/>
        </w:tabs>
        <w:ind w:right="41"/>
        <w:jc w:val="both"/>
      </w:pPr>
      <w:r>
        <w:t xml:space="preserve">Conditions under which a client may not be allowed to take further position or the broker may close the existing position of </w:t>
      </w:r>
      <w:r>
        <w:t>a client:</w:t>
      </w:r>
      <w:r>
        <w:rPr>
          <w:spacing w:val="-8"/>
        </w:rPr>
        <w:t xml:space="preserve"> </w:t>
      </w:r>
      <w:r>
        <w:t>-</w:t>
      </w:r>
    </w:p>
    <w:p w:rsidR="004420F3" w:rsidRDefault="004420F3">
      <w:pPr>
        <w:pStyle w:val="BodyText"/>
        <w:spacing w:before="8"/>
        <w:ind w:left="0"/>
        <w:jc w:val="left"/>
        <w:rPr>
          <w:b/>
          <w:sz w:val="21"/>
        </w:rPr>
      </w:pPr>
    </w:p>
    <w:p w:rsidR="000F0E6B" w:rsidRDefault="000F0E6B">
      <w:pPr>
        <w:pStyle w:val="BodyText"/>
        <w:spacing w:before="8"/>
        <w:ind w:left="0"/>
        <w:jc w:val="left"/>
        <w:rPr>
          <w:b/>
          <w:sz w:val="21"/>
        </w:rPr>
      </w:pPr>
    </w:p>
    <w:p w:rsidR="000F0E6B" w:rsidRDefault="000F0E6B">
      <w:pPr>
        <w:pStyle w:val="BodyText"/>
        <w:spacing w:before="8"/>
        <w:ind w:left="0"/>
        <w:jc w:val="left"/>
        <w:rPr>
          <w:b/>
          <w:sz w:val="21"/>
        </w:rPr>
      </w:pPr>
    </w:p>
    <w:p w:rsidR="004420F3" w:rsidRDefault="00C62BD4">
      <w:pPr>
        <w:pStyle w:val="BodyText"/>
        <w:ind w:right="39"/>
      </w:pPr>
      <w:r>
        <w:t>In case overall position in a scrip / derivatives contract has reached the Regulators prescribed Exchanged limit / Market wide Open Interest limit, then client may not be allowed to take further position, till such time Regulator prescribed limits comes do</w:t>
      </w:r>
      <w:r>
        <w:t>wn to create a new position.</w:t>
      </w:r>
    </w:p>
    <w:p w:rsidR="000F0E6B" w:rsidRDefault="000F0E6B" w:rsidP="000F0E6B">
      <w:pPr>
        <w:pStyle w:val="BodyText"/>
        <w:spacing w:before="14"/>
        <w:ind w:left="0" w:right="117"/>
      </w:pPr>
    </w:p>
    <w:p w:rsidR="000F0E6B" w:rsidRDefault="000F0E6B" w:rsidP="000F0E6B">
      <w:pPr>
        <w:pStyle w:val="BodyText"/>
        <w:spacing w:before="92" w:line="252" w:lineRule="exact"/>
        <w:jc w:val="left"/>
      </w:pPr>
      <w:r>
        <w:t>Further,</w:t>
      </w:r>
      <w:r>
        <w:rPr>
          <w:spacing w:val="35"/>
        </w:rPr>
        <w:t xml:space="preserve"> </w:t>
      </w:r>
      <w:r>
        <w:t>the</w:t>
      </w:r>
      <w:r>
        <w:rPr>
          <w:spacing w:val="39"/>
        </w:rPr>
        <w:t xml:space="preserve"> </w:t>
      </w:r>
      <w:r>
        <w:t>stock</w:t>
      </w:r>
      <w:r>
        <w:rPr>
          <w:spacing w:val="36"/>
        </w:rPr>
        <w:t xml:space="preserve"> </w:t>
      </w:r>
      <w:r>
        <w:t>broker</w:t>
      </w:r>
      <w:r>
        <w:rPr>
          <w:spacing w:val="37"/>
        </w:rPr>
        <w:t xml:space="preserve"> </w:t>
      </w:r>
      <w:r>
        <w:t>may</w:t>
      </w:r>
      <w:r>
        <w:rPr>
          <w:spacing w:val="36"/>
        </w:rPr>
        <w:t xml:space="preserve"> </w:t>
      </w:r>
      <w:r>
        <w:t>close</w:t>
      </w:r>
      <w:r>
        <w:rPr>
          <w:spacing w:val="39"/>
        </w:rPr>
        <w:t xml:space="preserve"> </w:t>
      </w:r>
      <w:r>
        <w:t>the</w:t>
      </w:r>
      <w:r>
        <w:rPr>
          <w:spacing w:val="36"/>
        </w:rPr>
        <w:t xml:space="preserve"> </w:t>
      </w:r>
      <w:r>
        <w:t>existing</w:t>
      </w:r>
    </w:p>
    <w:p w:rsidR="004420F3" w:rsidRDefault="000F0E6B" w:rsidP="000F0E6B">
      <w:pPr>
        <w:pStyle w:val="BodyText"/>
        <w:spacing w:before="14"/>
        <w:ind w:left="0" w:right="117"/>
      </w:pPr>
      <w:r>
        <w:t xml:space="preserve">       position</w:t>
      </w:r>
      <w:r>
        <w:rPr>
          <w:spacing w:val="12"/>
        </w:rPr>
        <w:t xml:space="preserve"> </w:t>
      </w:r>
      <w:r>
        <w:t>of</w:t>
      </w:r>
      <w:r>
        <w:rPr>
          <w:spacing w:val="13"/>
        </w:rPr>
        <w:t xml:space="preserve"> </w:t>
      </w:r>
      <w:r>
        <w:t>a</w:t>
      </w:r>
      <w:r>
        <w:rPr>
          <w:spacing w:val="11"/>
        </w:rPr>
        <w:t xml:space="preserve"> </w:t>
      </w:r>
      <w:r>
        <w:t>client</w:t>
      </w:r>
      <w:r>
        <w:rPr>
          <w:spacing w:val="13"/>
        </w:rPr>
        <w:t xml:space="preserve"> </w:t>
      </w:r>
      <w:r>
        <w:t>to</w:t>
      </w:r>
      <w:r>
        <w:rPr>
          <w:spacing w:val="11"/>
        </w:rPr>
        <w:t xml:space="preserve"> </w:t>
      </w:r>
      <w:r>
        <w:t>the</w:t>
      </w:r>
      <w:r>
        <w:rPr>
          <w:spacing w:val="10"/>
        </w:rPr>
        <w:t xml:space="preserve"> </w:t>
      </w:r>
      <w:r>
        <w:t>extent</w:t>
      </w:r>
      <w:r>
        <w:rPr>
          <w:spacing w:val="14"/>
        </w:rPr>
        <w:t xml:space="preserve"> </w:t>
      </w:r>
      <w:r>
        <w:t>of</w:t>
      </w:r>
      <w:r>
        <w:rPr>
          <w:spacing w:val="13"/>
        </w:rPr>
        <w:t xml:space="preserve"> </w:t>
      </w:r>
      <w:r>
        <w:t>debit</w:t>
      </w:r>
      <w:r>
        <w:rPr>
          <w:spacing w:val="13"/>
        </w:rPr>
        <w:t xml:space="preserve"> </w:t>
      </w:r>
      <w:r w:rsidR="00AC0494">
        <w:rPr>
          <w:spacing w:val="13"/>
        </w:rPr>
        <w:t xml:space="preserve"> </w:t>
      </w:r>
      <w:r>
        <w:t>balances</w:t>
      </w:r>
      <w:r w:rsidR="00AC0494">
        <w:t>.</w:t>
      </w:r>
      <w:r>
        <w:t xml:space="preserve"> </w:t>
      </w:r>
      <w:r w:rsidR="00C62BD4">
        <w:br w:type="column"/>
      </w:r>
      <w:r>
        <w:lastRenderedPageBreak/>
        <w:t xml:space="preserve">to release the Margin from the Exchange. In case </w:t>
      </w:r>
      <w:r w:rsidR="00C62BD4">
        <w:t>if the stock broker has sufficient Margin cover on behalf of its client, it may still decide based on the market conditions or may close the existing position of a client.</w:t>
      </w:r>
    </w:p>
    <w:p w:rsidR="004420F3" w:rsidRDefault="004420F3">
      <w:pPr>
        <w:pStyle w:val="BodyText"/>
        <w:spacing w:before="4"/>
        <w:ind w:left="0"/>
        <w:jc w:val="left"/>
      </w:pPr>
    </w:p>
    <w:p w:rsidR="004420F3" w:rsidRDefault="00C62BD4">
      <w:pPr>
        <w:pStyle w:val="Heading1"/>
        <w:numPr>
          <w:ilvl w:val="0"/>
          <w:numId w:val="3"/>
        </w:numPr>
        <w:tabs>
          <w:tab w:val="left" w:pos="469"/>
        </w:tabs>
        <w:spacing w:line="249" w:lineRule="exact"/>
      </w:pPr>
      <w:r>
        <w:t>Temporary Suspension/Closure of</w:t>
      </w:r>
      <w:r>
        <w:rPr>
          <w:spacing w:val="-3"/>
        </w:rPr>
        <w:t xml:space="preserve"> </w:t>
      </w:r>
      <w:r>
        <w:t>Account</w:t>
      </w:r>
    </w:p>
    <w:p w:rsidR="004420F3" w:rsidRDefault="00C62BD4">
      <w:pPr>
        <w:pStyle w:val="ListParagraph"/>
        <w:numPr>
          <w:ilvl w:val="0"/>
          <w:numId w:val="1"/>
        </w:numPr>
        <w:tabs>
          <w:tab w:val="left" w:pos="469"/>
        </w:tabs>
        <w:ind w:right="117"/>
      </w:pPr>
      <w:r>
        <w:t>The client ma</w:t>
      </w:r>
      <w:r>
        <w:t xml:space="preserve">y request the stock broker for temporary suspension/closure of his trading account by sending a written request will be in turn sent by branch to Head Office for further processing where after verification of the client details, the trading account of the </w:t>
      </w:r>
      <w:r>
        <w:t>client will be suspended.</w:t>
      </w:r>
    </w:p>
    <w:p w:rsidR="004420F3" w:rsidRDefault="00C62BD4">
      <w:pPr>
        <w:pStyle w:val="ListParagraph"/>
        <w:numPr>
          <w:ilvl w:val="0"/>
          <w:numId w:val="1"/>
        </w:numPr>
        <w:tabs>
          <w:tab w:val="left" w:pos="469"/>
        </w:tabs>
      </w:pPr>
      <w:r>
        <w:t>The client would be required to clear all his dues / settlement of obligation before his account is temporarily suspended. The client may also be required to fulfill other conditions, on a case to case</w:t>
      </w:r>
      <w:r>
        <w:rPr>
          <w:spacing w:val="-2"/>
        </w:rPr>
        <w:t xml:space="preserve"> </w:t>
      </w:r>
      <w:r>
        <w:t>basis.</w:t>
      </w:r>
    </w:p>
    <w:p w:rsidR="004420F3" w:rsidRDefault="00C62BD4">
      <w:pPr>
        <w:pStyle w:val="ListParagraph"/>
        <w:numPr>
          <w:ilvl w:val="0"/>
          <w:numId w:val="1"/>
        </w:numPr>
        <w:tabs>
          <w:tab w:val="left" w:pos="469"/>
        </w:tabs>
      </w:pPr>
      <w:r>
        <w:t xml:space="preserve">The stock broker can </w:t>
      </w:r>
      <w:r>
        <w:t xml:space="preserve">withhold the payouts of client and suspend/close his trading account </w:t>
      </w:r>
      <w:proofErr w:type="gramStart"/>
      <w:r>
        <w:t>due  to</w:t>
      </w:r>
      <w:proofErr w:type="gramEnd"/>
      <w:r>
        <w:t xml:space="preserve"> any internal / regulatory</w:t>
      </w:r>
      <w:r>
        <w:rPr>
          <w:spacing w:val="-8"/>
        </w:rPr>
        <w:t xml:space="preserve"> </w:t>
      </w:r>
      <w:r>
        <w:t>action.</w:t>
      </w:r>
    </w:p>
    <w:p w:rsidR="004420F3" w:rsidRDefault="00C62BD4">
      <w:pPr>
        <w:pStyle w:val="ListParagraph"/>
        <w:numPr>
          <w:ilvl w:val="0"/>
          <w:numId w:val="1"/>
        </w:numPr>
        <w:tabs>
          <w:tab w:val="left" w:pos="469"/>
        </w:tabs>
      </w:pPr>
      <w:r>
        <w:t xml:space="preserve">Upon suspension/closure of trading account </w:t>
      </w:r>
      <w:proofErr w:type="gramStart"/>
      <w:r>
        <w:t>an intimation</w:t>
      </w:r>
      <w:proofErr w:type="gramEnd"/>
      <w:r>
        <w:t xml:space="preserve"> will be sent to the client within 15 days of suspension.</w:t>
      </w:r>
    </w:p>
    <w:p w:rsidR="004420F3" w:rsidRDefault="004420F3">
      <w:pPr>
        <w:pStyle w:val="BodyText"/>
        <w:spacing w:before="1"/>
        <w:ind w:left="0"/>
        <w:jc w:val="left"/>
      </w:pPr>
    </w:p>
    <w:p w:rsidR="004420F3" w:rsidRDefault="00C62BD4">
      <w:pPr>
        <w:pStyle w:val="Heading1"/>
        <w:numPr>
          <w:ilvl w:val="0"/>
          <w:numId w:val="3"/>
        </w:numPr>
        <w:tabs>
          <w:tab w:val="left" w:pos="469"/>
        </w:tabs>
        <w:spacing w:before="1" w:line="250" w:lineRule="exact"/>
      </w:pPr>
      <w:r>
        <w:t>Deregistering a</w:t>
      </w:r>
      <w:r>
        <w:rPr>
          <w:spacing w:val="-1"/>
        </w:rPr>
        <w:t xml:space="preserve"> </w:t>
      </w:r>
      <w:r>
        <w:t>client</w:t>
      </w:r>
    </w:p>
    <w:p w:rsidR="004420F3" w:rsidRDefault="00C62BD4">
      <w:pPr>
        <w:pStyle w:val="BodyText"/>
        <w:ind w:right="119"/>
      </w:pPr>
      <w:r>
        <w:t>In addi</w:t>
      </w:r>
      <w:r>
        <w:t>tion to what the client has agreed in the agreement, the stock broker may terminate a client with immediate effect, but not limited to the following reasons –</w:t>
      </w:r>
    </w:p>
    <w:p w:rsidR="004420F3" w:rsidRDefault="00C62BD4">
      <w:pPr>
        <w:pStyle w:val="ListParagraph"/>
        <w:numPr>
          <w:ilvl w:val="0"/>
          <w:numId w:val="1"/>
        </w:numPr>
        <w:tabs>
          <w:tab w:val="left" w:pos="469"/>
        </w:tabs>
        <w:ind w:right="120"/>
      </w:pPr>
      <w:r>
        <w:t>If the client is debarred by SEBI or any other regulatory</w:t>
      </w:r>
      <w:r>
        <w:rPr>
          <w:spacing w:val="-3"/>
        </w:rPr>
        <w:t xml:space="preserve"> </w:t>
      </w:r>
      <w:r>
        <w:t>authority</w:t>
      </w:r>
    </w:p>
    <w:p w:rsidR="004420F3" w:rsidRDefault="00C62BD4">
      <w:pPr>
        <w:pStyle w:val="ListParagraph"/>
        <w:numPr>
          <w:ilvl w:val="0"/>
          <w:numId w:val="1"/>
        </w:numPr>
        <w:tabs>
          <w:tab w:val="left" w:pos="469"/>
        </w:tabs>
        <w:ind w:right="120"/>
      </w:pPr>
      <w:r>
        <w:t>As a part of surveillance mea</w:t>
      </w:r>
      <w:r>
        <w:t>sure, if a client appears to be indulging in manipulative</w:t>
      </w:r>
      <w:r>
        <w:rPr>
          <w:spacing w:val="-14"/>
        </w:rPr>
        <w:t xml:space="preserve"> </w:t>
      </w:r>
      <w:r>
        <w:t>practices.</w:t>
      </w:r>
    </w:p>
    <w:p w:rsidR="004420F3" w:rsidRDefault="00C62BD4">
      <w:pPr>
        <w:pStyle w:val="ListParagraph"/>
        <w:numPr>
          <w:ilvl w:val="0"/>
          <w:numId w:val="1"/>
        </w:numPr>
        <w:tabs>
          <w:tab w:val="left" w:pos="469"/>
        </w:tabs>
      </w:pPr>
      <w:r>
        <w:t>Under the circumstances when there is a reasonable ground to believe that the client is unable to clear its dues or has admitted its inability to pay its</w:t>
      </w:r>
      <w:r>
        <w:rPr>
          <w:spacing w:val="-7"/>
        </w:rPr>
        <w:t xml:space="preserve"> </w:t>
      </w:r>
      <w:r>
        <w:t>debt.</w:t>
      </w:r>
    </w:p>
    <w:p w:rsidR="004420F3" w:rsidRDefault="00C62BD4">
      <w:pPr>
        <w:pStyle w:val="ListParagraph"/>
        <w:numPr>
          <w:ilvl w:val="0"/>
          <w:numId w:val="1"/>
        </w:numPr>
        <w:tabs>
          <w:tab w:val="left" w:pos="469"/>
        </w:tabs>
      </w:pPr>
      <w:r>
        <w:t xml:space="preserve">If the client violates any </w:t>
      </w:r>
      <w:r>
        <w:t>of the terms of the agreement.</w:t>
      </w:r>
    </w:p>
    <w:p w:rsidR="004420F3" w:rsidRDefault="004420F3">
      <w:pPr>
        <w:pStyle w:val="BodyText"/>
        <w:spacing w:before="4"/>
        <w:ind w:left="0"/>
        <w:jc w:val="left"/>
        <w:rPr>
          <w:sz w:val="21"/>
        </w:rPr>
      </w:pPr>
    </w:p>
    <w:p w:rsidR="004420F3" w:rsidRDefault="00C62BD4">
      <w:pPr>
        <w:pStyle w:val="BodyText"/>
        <w:ind w:right="119"/>
      </w:pPr>
      <w:r>
        <w:t>Client accept</w:t>
      </w:r>
      <w:r>
        <w:t xml:space="preserve">ance of policies and procedures </w:t>
      </w:r>
      <w:r>
        <w:t>mentioned hereinabove-</w:t>
      </w:r>
    </w:p>
    <w:p w:rsidR="004420F3" w:rsidRDefault="004420F3">
      <w:pPr>
        <w:pStyle w:val="BodyText"/>
        <w:spacing w:before="2"/>
        <w:ind w:left="0"/>
        <w:jc w:val="left"/>
      </w:pPr>
    </w:p>
    <w:p w:rsidR="004420F3" w:rsidRDefault="00C62BD4">
      <w:pPr>
        <w:pStyle w:val="BodyText"/>
        <w:ind w:right="119"/>
      </w:pPr>
      <w:r>
        <w:t>I / we have fully understood and agree to sign the same. Above polic</w:t>
      </w:r>
      <w:r w:rsidR="000F0E6B">
        <w:t>i</w:t>
      </w:r>
      <w:r>
        <w:t>es and procedures may be amended / changed unilaterally by the stock broker provided the same is informed to me /</w:t>
      </w:r>
      <w:r>
        <w:rPr>
          <w:spacing w:val="-11"/>
        </w:rPr>
        <w:t xml:space="preserve"> </w:t>
      </w:r>
      <w:r>
        <w:t>us.</w:t>
      </w:r>
    </w:p>
    <w:p w:rsidR="004420F3" w:rsidRDefault="004420F3">
      <w:pPr>
        <w:sectPr w:rsidR="004420F3">
          <w:pgSz w:w="12240" w:h="15840"/>
          <w:pgMar w:top="980" w:right="740" w:bottom="1000" w:left="900" w:header="722" w:footer="805" w:gutter="0"/>
          <w:cols w:num="2" w:space="720" w:equalWidth="0">
            <w:col w:w="4978" w:space="565"/>
            <w:col w:w="5057"/>
          </w:cols>
        </w:sectPr>
      </w:pPr>
    </w:p>
    <w:p w:rsidR="004420F3" w:rsidRDefault="004420F3">
      <w:pPr>
        <w:pStyle w:val="BodyText"/>
        <w:spacing w:before="11"/>
        <w:ind w:left="0"/>
        <w:jc w:val="left"/>
        <w:rPr>
          <w:sz w:val="13"/>
        </w:rPr>
      </w:pPr>
    </w:p>
    <w:p w:rsidR="004420F3" w:rsidRDefault="00C62BD4">
      <w:pPr>
        <w:pStyle w:val="BodyText"/>
        <w:tabs>
          <w:tab w:val="left" w:pos="7091"/>
          <w:tab w:val="left" w:pos="9671"/>
        </w:tabs>
        <w:spacing w:line="231" w:lineRule="exact"/>
        <w:jc w:val="left"/>
      </w:pPr>
      <w:r>
        <w:tab/>
      </w:r>
      <w:r>
        <w:rPr>
          <w:u w:val="single"/>
        </w:rPr>
        <w:t xml:space="preserve"> </w:t>
      </w:r>
      <w:r>
        <w:rPr>
          <w:u w:val="single"/>
        </w:rPr>
        <w:tab/>
      </w:r>
    </w:p>
    <w:p w:rsidR="004420F3" w:rsidRDefault="004420F3">
      <w:pPr>
        <w:spacing w:line="231" w:lineRule="exact"/>
        <w:sectPr w:rsidR="004420F3">
          <w:type w:val="continuous"/>
          <w:pgSz w:w="12240" w:h="15840"/>
          <w:pgMar w:top="980" w:right="740" w:bottom="1000" w:left="900" w:header="720" w:footer="720" w:gutter="0"/>
          <w:cols w:space="720"/>
        </w:sectPr>
      </w:pPr>
    </w:p>
    <w:p w:rsidR="004420F3" w:rsidRDefault="00C62BD4">
      <w:pPr>
        <w:pStyle w:val="Heading1"/>
        <w:spacing w:line="244" w:lineRule="exact"/>
        <w:ind w:firstLine="0"/>
      </w:pPr>
      <w:r>
        <w:rPr>
          <w:b w:val="0"/>
        </w:rPr>
        <w:lastRenderedPageBreak/>
        <w:br w:type="column"/>
      </w:r>
      <w:r>
        <w:lastRenderedPageBreak/>
        <w:t>Client Signature</w:t>
      </w:r>
    </w:p>
    <w:sectPr w:rsidR="004420F3" w:rsidSect="004420F3">
      <w:type w:val="continuous"/>
      <w:pgSz w:w="12240" w:h="15840"/>
      <w:pgMar w:top="980" w:right="740" w:bottom="1000" w:left="900" w:header="720" w:footer="720" w:gutter="0"/>
      <w:cols w:num="2" w:space="720" w:equalWidth="0">
        <w:col w:w="4975" w:space="2025"/>
        <w:col w:w="36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BD4" w:rsidRDefault="00C62BD4" w:rsidP="004420F3">
      <w:r>
        <w:separator/>
      </w:r>
    </w:p>
  </w:endnote>
  <w:endnote w:type="continuationSeparator" w:id="0">
    <w:p w:rsidR="00C62BD4" w:rsidRDefault="00C62BD4" w:rsidP="00442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Mono CJK JP Regular">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0F3" w:rsidRDefault="004420F3">
    <w:pPr>
      <w:pStyle w:val="BodyText"/>
      <w:spacing w:line="14" w:lineRule="auto"/>
      <w:ind w:left="0"/>
      <w:jc w:val="left"/>
      <w:rPr>
        <w:sz w:val="20"/>
      </w:rPr>
    </w:pPr>
    <w:r w:rsidRPr="004420F3">
      <w:pict>
        <v:shapetype id="_x0000_t202" coordsize="21600,21600" o:spt="202" path="m,l,21600r21600,l21600,xe">
          <v:stroke joinstyle="miter"/>
          <v:path gradientshapeok="t" o:connecttype="rect"/>
        </v:shapetype>
        <v:shape id="_x0000_s1026" type="#_x0000_t202" style="position:absolute;margin-left:49.45pt;margin-top:740.75pt;width:58.75pt;height:15.3pt;z-index:-4024;mso-position-horizontal-relative:page;mso-position-vertical-relative:page" filled="f" stroked="f">
          <v:textbox inset="0,0,0,0">
            <w:txbxContent>
              <w:p w:rsidR="004420F3" w:rsidRDefault="00C62BD4">
                <w:pPr>
                  <w:spacing w:line="306" w:lineRule="exact"/>
                  <w:ind w:left="20"/>
                  <w:rPr>
                    <w:sz w:val="24"/>
                  </w:rPr>
                </w:pPr>
                <w:r>
                  <w:rPr>
                    <w:rFonts w:ascii="Noto Sans Mono CJK JP Regular"/>
                    <w:color w:val="323232"/>
                    <w:sz w:val="23"/>
                  </w:rPr>
                  <w:t xml:space="preserve">Page </w:t>
                </w:r>
                <w:r w:rsidR="004420F3">
                  <w:fldChar w:fldCharType="begin"/>
                </w:r>
                <w:r>
                  <w:rPr>
                    <w:sz w:val="24"/>
                  </w:rPr>
                  <w:instrText xml:space="preserve"> PAGE </w:instrText>
                </w:r>
                <w:r w:rsidR="004420F3">
                  <w:fldChar w:fldCharType="separate"/>
                </w:r>
                <w:r w:rsidR="00AC0494">
                  <w:rPr>
                    <w:noProof/>
                    <w:sz w:val="24"/>
                  </w:rPr>
                  <w:t>2</w:t>
                </w:r>
                <w:r w:rsidR="004420F3">
                  <w:fldChar w:fldCharType="end"/>
                </w:r>
                <w:r>
                  <w:rPr>
                    <w:sz w:val="24"/>
                  </w:rPr>
                  <w:t xml:space="preserve"> of 2</w:t>
                </w:r>
              </w:p>
            </w:txbxContent>
          </v:textbox>
          <w10:wrap anchorx="page" anchory="page"/>
        </v:shape>
      </w:pict>
    </w:r>
    <w:r w:rsidRPr="004420F3">
      <w:pict>
        <v:shape id="_x0000_s1025" type="#_x0000_t202" style="position:absolute;margin-left:469.9pt;margin-top:741.55pt;width:13.5pt;height:13.55pt;z-index:-4000;mso-position-horizontal-relative:page;mso-position-vertical-relative:page" filled="f" stroked="f">
          <v:textbox inset="0,0,0,0">
            <w:txbxContent>
              <w:p w:rsidR="004420F3" w:rsidRDefault="00C62BD4">
                <w:pPr>
                  <w:spacing w:line="270" w:lineRule="exact"/>
                  <w:ind w:left="20"/>
                  <w:rPr>
                    <w:rFonts w:ascii="Noto Sans Mono CJK JP Regular" w:hAnsi="Noto Sans Mono CJK JP Regular"/>
                    <w:sz w:val="23"/>
                  </w:rPr>
                </w:pPr>
                <w:r>
                  <w:rPr>
                    <w:rFonts w:ascii="Noto Sans Mono CJK JP Regular" w:hAnsi="Noto Sans Mono CJK JP Regular"/>
                    <w:color w:val="323232"/>
                    <w:w w:val="99"/>
                    <w:sz w:val="23"/>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BD4" w:rsidRDefault="00C62BD4" w:rsidP="004420F3">
      <w:r>
        <w:separator/>
      </w:r>
    </w:p>
  </w:footnote>
  <w:footnote w:type="continuationSeparator" w:id="0">
    <w:p w:rsidR="00C62BD4" w:rsidRDefault="00C62BD4" w:rsidP="00442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0F3" w:rsidRDefault="004420F3">
    <w:pPr>
      <w:pStyle w:val="BodyText"/>
      <w:spacing w:line="14" w:lineRule="auto"/>
      <w:ind w:left="0"/>
      <w:jc w:val="left"/>
      <w:rPr>
        <w:sz w:val="20"/>
      </w:rPr>
    </w:pPr>
    <w:r w:rsidRPr="004420F3">
      <w:pict>
        <v:shapetype id="_x0000_t202" coordsize="21600,21600" o:spt="202" path="m,l,21600r21600,l21600,xe">
          <v:stroke joinstyle="miter"/>
          <v:path gradientshapeok="t" o:connecttype="rect"/>
        </v:shapetype>
        <v:shape id="_x0000_s1027" type="#_x0000_t202" style="position:absolute;margin-left:459.55pt;margin-top:35.1pt;width:110.25pt;height:15.3pt;z-index:-4048;mso-position-horizontal-relative:page;mso-position-vertical-relative:page" filled="f" stroked="f">
          <v:textbox inset="0,0,0,0">
            <w:txbxContent>
              <w:p w:rsidR="004420F3" w:rsidRPr="000F0E6B" w:rsidRDefault="004420F3" w:rsidP="000F0E6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346FE"/>
    <w:multiLevelType w:val="hybridMultilevel"/>
    <w:tmpl w:val="8C7CE126"/>
    <w:lvl w:ilvl="0" w:tplc="1EBA0BA6">
      <w:start w:val="1"/>
      <w:numFmt w:val="decimal"/>
      <w:lvlText w:val="%1."/>
      <w:lvlJc w:val="left"/>
      <w:pPr>
        <w:ind w:left="468" w:hanging="360"/>
        <w:jc w:val="left"/>
      </w:pPr>
      <w:rPr>
        <w:rFonts w:hint="default"/>
        <w:w w:val="100"/>
      </w:rPr>
    </w:lvl>
    <w:lvl w:ilvl="1" w:tplc="19EA8A36">
      <w:numFmt w:val="bullet"/>
      <w:lvlText w:val="•"/>
      <w:lvlJc w:val="left"/>
      <w:pPr>
        <w:ind w:left="357" w:hanging="360"/>
      </w:pPr>
      <w:rPr>
        <w:rFonts w:hint="default"/>
      </w:rPr>
    </w:lvl>
    <w:lvl w:ilvl="2" w:tplc="C060B508">
      <w:numFmt w:val="bullet"/>
      <w:lvlText w:val="•"/>
      <w:lvlJc w:val="left"/>
      <w:pPr>
        <w:ind w:left="254" w:hanging="360"/>
      </w:pPr>
      <w:rPr>
        <w:rFonts w:hint="default"/>
      </w:rPr>
    </w:lvl>
    <w:lvl w:ilvl="3" w:tplc="9C6A089C">
      <w:numFmt w:val="bullet"/>
      <w:lvlText w:val="•"/>
      <w:lvlJc w:val="left"/>
      <w:pPr>
        <w:ind w:left="152" w:hanging="360"/>
      </w:pPr>
      <w:rPr>
        <w:rFonts w:hint="default"/>
      </w:rPr>
    </w:lvl>
    <w:lvl w:ilvl="4" w:tplc="A3CE82E8">
      <w:numFmt w:val="bullet"/>
      <w:lvlText w:val="•"/>
      <w:lvlJc w:val="left"/>
      <w:pPr>
        <w:ind w:left="49" w:hanging="360"/>
      </w:pPr>
      <w:rPr>
        <w:rFonts w:hint="default"/>
      </w:rPr>
    </w:lvl>
    <w:lvl w:ilvl="5" w:tplc="707CC0C8">
      <w:numFmt w:val="bullet"/>
      <w:lvlText w:val="•"/>
      <w:lvlJc w:val="left"/>
      <w:pPr>
        <w:ind w:left="-53" w:hanging="360"/>
      </w:pPr>
      <w:rPr>
        <w:rFonts w:hint="default"/>
      </w:rPr>
    </w:lvl>
    <w:lvl w:ilvl="6" w:tplc="5582DF6E">
      <w:numFmt w:val="bullet"/>
      <w:lvlText w:val="•"/>
      <w:lvlJc w:val="left"/>
      <w:pPr>
        <w:ind w:left="-156" w:hanging="360"/>
      </w:pPr>
      <w:rPr>
        <w:rFonts w:hint="default"/>
      </w:rPr>
    </w:lvl>
    <w:lvl w:ilvl="7" w:tplc="3878DAEE">
      <w:numFmt w:val="bullet"/>
      <w:lvlText w:val="•"/>
      <w:lvlJc w:val="left"/>
      <w:pPr>
        <w:ind w:left="-259" w:hanging="360"/>
      </w:pPr>
      <w:rPr>
        <w:rFonts w:hint="default"/>
      </w:rPr>
    </w:lvl>
    <w:lvl w:ilvl="8" w:tplc="7F6E3612">
      <w:numFmt w:val="bullet"/>
      <w:lvlText w:val="•"/>
      <w:lvlJc w:val="left"/>
      <w:pPr>
        <w:ind w:left="-361" w:hanging="360"/>
      </w:pPr>
      <w:rPr>
        <w:rFonts w:hint="default"/>
      </w:rPr>
    </w:lvl>
  </w:abstractNum>
  <w:abstractNum w:abstractNumId="1">
    <w:nsid w:val="65A073AB"/>
    <w:multiLevelType w:val="hybridMultilevel"/>
    <w:tmpl w:val="B17ED49E"/>
    <w:lvl w:ilvl="0" w:tplc="5D6438CA">
      <w:numFmt w:val="bullet"/>
      <w:lvlText w:val=""/>
      <w:lvlJc w:val="left"/>
      <w:pPr>
        <w:ind w:left="468" w:hanging="360"/>
      </w:pPr>
      <w:rPr>
        <w:rFonts w:ascii="Symbol" w:eastAsia="Symbol" w:hAnsi="Symbol" w:cs="Symbol" w:hint="default"/>
        <w:w w:val="100"/>
        <w:sz w:val="22"/>
        <w:szCs w:val="22"/>
      </w:rPr>
    </w:lvl>
    <w:lvl w:ilvl="1" w:tplc="ED6CF62A">
      <w:numFmt w:val="bullet"/>
      <w:lvlText w:val="•"/>
      <w:lvlJc w:val="left"/>
      <w:pPr>
        <w:ind w:left="911" w:hanging="360"/>
      </w:pPr>
      <w:rPr>
        <w:rFonts w:hint="default"/>
      </w:rPr>
    </w:lvl>
    <w:lvl w:ilvl="2" w:tplc="64AC7AA0">
      <w:numFmt w:val="bullet"/>
      <w:lvlText w:val="•"/>
      <w:lvlJc w:val="left"/>
      <w:pPr>
        <w:ind w:left="1363" w:hanging="360"/>
      </w:pPr>
      <w:rPr>
        <w:rFonts w:hint="default"/>
      </w:rPr>
    </w:lvl>
    <w:lvl w:ilvl="3" w:tplc="D17E77DC">
      <w:numFmt w:val="bullet"/>
      <w:lvlText w:val="•"/>
      <w:lvlJc w:val="left"/>
      <w:pPr>
        <w:ind w:left="1815" w:hanging="360"/>
      </w:pPr>
      <w:rPr>
        <w:rFonts w:hint="default"/>
      </w:rPr>
    </w:lvl>
    <w:lvl w:ilvl="4" w:tplc="B21C4D50">
      <w:numFmt w:val="bullet"/>
      <w:lvlText w:val="•"/>
      <w:lvlJc w:val="left"/>
      <w:pPr>
        <w:ind w:left="2267" w:hanging="360"/>
      </w:pPr>
      <w:rPr>
        <w:rFonts w:hint="default"/>
      </w:rPr>
    </w:lvl>
    <w:lvl w:ilvl="5" w:tplc="8A0683B0">
      <w:numFmt w:val="bullet"/>
      <w:lvlText w:val="•"/>
      <w:lvlJc w:val="left"/>
      <w:pPr>
        <w:ind w:left="2718" w:hanging="360"/>
      </w:pPr>
      <w:rPr>
        <w:rFonts w:hint="default"/>
      </w:rPr>
    </w:lvl>
    <w:lvl w:ilvl="6" w:tplc="92345EF8">
      <w:numFmt w:val="bullet"/>
      <w:lvlText w:val="•"/>
      <w:lvlJc w:val="left"/>
      <w:pPr>
        <w:ind w:left="3170" w:hanging="360"/>
      </w:pPr>
      <w:rPr>
        <w:rFonts w:hint="default"/>
      </w:rPr>
    </w:lvl>
    <w:lvl w:ilvl="7" w:tplc="CDF26802">
      <w:numFmt w:val="bullet"/>
      <w:lvlText w:val="•"/>
      <w:lvlJc w:val="left"/>
      <w:pPr>
        <w:ind w:left="3622" w:hanging="360"/>
      </w:pPr>
      <w:rPr>
        <w:rFonts w:hint="default"/>
      </w:rPr>
    </w:lvl>
    <w:lvl w:ilvl="8" w:tplc="AFB43A74">
      <w:numFmt w:val="bullet"/>
      <w:lvlText w:val="•"/>
      <w:lvlJc w:val="left"/>
      <w:pPr>
        <w:ind w:left="4074" w:hanging="360"/>
      </w:pPr>
      <w:rPr>
        <w:rFonts w:hint="default"/>
      </w:rPr>
    </w:lvl>
  </w:abstractNum>
  <w:abstractNum w:abstractNumId="2">
    <w:nsid w:val="67D46C2B"/>
    <w:multiLevelType w:val="hybridMultilevel"/>
    <w:tmpl w:val="144CE40C"/>
    <w:lvl w:ilvl="0" w:tplc="46A69BF2">
      <w:start w:val="1"/>
      <w:numFmt w:val="lowerLetter"/>
      <w:lvlText w:val="%1)"/>
      <w:lvlJc w:val="left"/>
      <w:pPr>
        <w:ind w:left="468" w:hanging="360"/>
        <w:jc w:val="left"/>
      </w:pPr>
      <w:rPr>
        <w:rFonts w:ascii="Times New Roman" w:eastAsia="Times New Roman" w:hAnsi="Times New Roman" w:cs="Times New Roman" w:hint="default"/>
        <w:b/>
        <w:bCs/>
        <w:w w:val="100"/>
        <w:sz w:val="22"/>
        <w:szCs w:val="22"/>
      </w:rPr>
    </w:lvl>
    <w:lvl w:ilvl="1" w:tplc="35A8B6EC">
      <w:numFmt w:val="bullet"/>
      <w:lvlText w:val="•"/>
      <w:lvlJc w:val="left"/>
      <w:pPr>
        <w:ind w:left="911" w:hanging="360"/>
      </w:pPr>
      <w:rPr>
        <w:rFonts w:hint="default"/>
      </w:rPr>
    </w:lvl>
    <w:lvl w:ilvl="2" w:tplc="2E7004A8">
      <w:numFmt w:val="bullet"/>
      <w:lvlText w:val="•"/>
      <w:lvlJc w:val="left"/>
      <w:pPr>
        <w:ind w:left="1363" w:hanging="360"/>
      </w:pPr>
      <w:rPr>
        <w:rFonts w:hint="default"/>
      </w:rPr>
    </w:lvl>
    <w:lvl w:ilvl="3" w:tplc="13E21998">
      <w:numFmt w:val="bullet"/>
      <w:lvlText w:val="•"/>
      <w:lvlJc w:val="left"/>
      <w:pPr>
        <w:ind w:left="1815" w:hanging="360"/>
      </w:pPr>
      <w:rPr>
        <w:rFonts w:hint="default"/>
      </w:rPr>
    </w:lvl>
    <w:lvl w:ilvl="4" w:tplc="22C8D272">
      <w:numFmt w:val="bullet"/>
      <w:lvlText w:val="•"/>
      <w:lvlJc w:val="left"/>
      <w:pPr>
        <w:ind w:left="2267" w:hanging="360"/>
      </w:pPr>
      <w:rPr>
        <w:rFonts w:hint="default"/>
      </w:rPr>
    </w:lvl>
    <w:lvl w:ilvl="5" w:tplc="DC5EB59E">
      <w:numFmt w:val="bullet"/>
      <w:lvlText w:val="•"/>
      <w:lvlJc w:val="left"/>
      <w:pPr>
        <w:ind w:left="2718" w:hanging="360"/>
      </w:pPr>
      <w:rPr>
        <w:rFonts w:hint="default"/>
      </w:rPr>
    </w:lvl>
    <w:lvl w:ilvl="6" w:tplc="207A5A0E">
      <w:numFmt w:val="bullet"/>
      <w:lvlText w:val="•"/>
      <w:lvlJc w:val="left"/>
      <w:pPr>
        <w:ind w:left="3170" w:hanging="360"/>
      </w:pPr>
      <w:rPr>
        <w:rFonts w:hint="default"/>
      </w:rPr>
    </w:lvl>
    <w:lvl w:ilvl="7" w:tplc="4A32C23C">
      <w:numFmt w:val="bullet"/>
      <w:lvlText w:val="•"/>
      <w:lvlJc w:val="left"/>
      <w:pPr>
        <w:ind w:left="3622" w:hanging="360"/>
      </w:pPr>
      <w:rPr>
        <w:rFonts w:hint="default"/>
      </w:rPr>
    </w:lvl>
    <w:lvl w:ilvl="8" w:tplc="1CF0ACC6">
      <w:numFmt w:val="bullet"/>
      <w:lvlText w:val="•"/>
      <w:lvlJc w:val="left"/>
      <w:pPr>
        <w:ind w:left="4074"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compat>
  <w:rsids>
    <w:rsidRoot w:val="004420F3"/>
    <w:rsid w:val="000F0E6B"/>
    <w:rsid w:val="004420F3"/>
    <w:rsid w:val="00AC0494"/>
    <w:rsid w:val="00C62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20F3"/>
    <w:rPr>
      <w:rFonts w:ascii="Times New Roman" w:eastAsia="Times New Roman" w:hAnsi="Times New Roman" w:cs="Times New Roman"/>
    </w:rPr>
  </w:style>
  <w:style w:type="paragraph" w:styleId="Heading1">
    <w:name w:val="heading 1"/>
    <w:basedOn w:val="Normal"/>
    <w:uiPriority w:val="1"/>
    <w:qFormat/>
    <w:rsid w:val="004420F3"/>
    <w:pPr>
      <w:ind w:left="468"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420F3"/>
    <w:pPr>
      <w:ind w:left="468"/>
      <w:jc w:val="both"/>
    </w:pPr>
  </w:style>
  <w:style w:type="paragraph" w:styleId="ListParagraph">
    <w:name w:val="List Paragraph"/>
    <w:basedOn w:val="Normal"/>
    <w:uiPriority w:val="1"/>
    <w:qFormat/>
    <w:rsid w:val="004420F3"/>
    <w:pPr>
      <w:ind w:left="468" w:right="119" w:hanging="360"/>
      <w:jc w:val="both"/>
    </w:pPr>
  </w:style>
  <w:style w:type="paragraph" w:customStyle="1" w:styleId="TableParagraph">
    <w:name w:val="Table Paragraph"/>
    <w:basedOn w:val="Normal"/>
    <w:uiPriority w:val="1"/>
    <w:qFormat/>
    <w:rsid w:val="004420F3"/>
  </w:style>
  <w:style w:type="paragraph" w:styleId="Header">
    <w:name w:val="header"/>
    <w:basedOn w:val="Normal"/>
    <w:link w:val="HeaderChar"/>
    <w:uiPriority w:val="99"/>
    <w:semiHidden/>
    <w:unhideWhenUsed/>
    <w:rsid w:val="000F0E6B"/>
    <w:pPr>
      <w:tabs>
        <w:tab w:val="center" w:pos="4680"/>
        <w:tab w:val="right" w:pos="9360"/>
      </w:tabs>
    </w:pPr>
  </w:style>
  <w:style w:type="character" w:customStyle="1" w:styleId="HeaderChar">
    <w:name w:val="Header Char"/>
    <w:basedOn w:val="DefaultParagraphFont"/>
    <w:link w:val="Header"/>
    <w:uiPriority w:val="99"/>
    <w:semiHidden/>
    <w:rsid w:val="000F0E6B"/>
    <w:rPr>
      <w:rFonts w:ascii="Times New Roman" w:eastAsia="Times New Roman" w:hAnsi="Times New Roman" w:cs="Times New Roman"/>
    </w:rPr>
  </w:style>
  <w:style w:type="paragraph" w:styleId="Footer">
    <w:name w:val="footer"/>
    <w:basedOn w:val="Normal"/>
    <w:link w:val="FooterChar"/>
    <w:uiPriority w:val="99"/>
    <w:semiHidden/>
    <w:unhideWhenUsed/>
    <w:rsid w:val="000F0E6B"/>
    <w:pPr>
      <w:tabs>
        <w:tab w:val="center" w:pos="4680"/>
        <w:tab w:val="right" w:pos="9360"/>
      </w:tabs>
    </w:pPr>
  </w:style>
  <w:style w:type="character" w:customStyle="1" w:styleId="FooterChar">
    <w:name w:val="Footer Char"/>
    <w:basedOn w:val="DefaultParagraphFont"/>
    <w:link w:val="Footer"/>
    <w:uiPriority w:val="99"/>
    <w:semiHidden/>
    <w:rsid w:val="000F0E6B"/>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policy_policies and procedures.doc</dc:title>
  <dc:creator>shaivi</dc:creator>
  <cp:lastModifiedBy>abhinav</cp:lastModifiedBy>
  <cp:revision>3</cp:revision>
  <dcterms:created xsi:type="dcterms:W3CDTF">2019-05-16T11:37:00Z</dcterms:created>
  <dcterms:modified xsi:type="dcterms:W3CDTF">2019-05-16T11:39:00Z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2010-12-28T00:00:00Z</vt:filetime>
  </property>
  <property fmtid="{D5CDD505-2E9C-101B-9397-08002B2CF9AE}" pid="3" name="Creator">
    <vt:lpwstr>PrimoPDF http://www.primopdf.com</vt:lpwstr>
  </property>
  <property fmtid="{D5CDD505-2E9C-101B-9397-08002B2CF9AE}" pid="4" name="LastSaved">
    <vt:filetime>2019-05-16T00:00:00Z</vt:filetime>
  </property>
</Properties>
</file>